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F809" w14:textId="77777777" w:rsidR="000B242A" w:rsidRDefault="00D23113">
      <w:pPr>
        <w:spacing w:line="360" w:lineRule="auto"/>
        <w:ind w:firstLine="27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„КИНТЕКС“ ЕАД</w:t>
      </w:r>
    </w:p>
    <w:p w14:paraId="3BE446D7" w14:textId="77777777" w:rsidR="000B242A" w:rsidRDefault="000B242A">
      <w:pPr>
        <w:spacing w:line="360" w:lineRule="auto"/>
        <w:ind w:firstLine="708"/>
        <w:rPr>
          <w:rFonts w:ascii="Verdana" w:hAnsi="Verdana" w:cs="Arial"/>
          <w:sz w:val="20"/>
          <w:szCs w:val="20"/>
        </w:rPr>
      </w:pPr>
    </w:p>
    <w:p w14:paraId="3F7E6A37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sz w:val="20"/>
          <w:szCs w:val="20"/>
        </w:rPr>
        <w:t xml:space="preserve">„Кинтекс” ЕАД, гр. София </w:t>
      </w:r>
      <w:r w:rsidRPr="00D23113">
        <w:rPr>
          <w:rFonts w:ascii="Verdana" w:hAnsi="Verdana" w:cs="Arial"/>
          <w:sz w:val="20"/>
          <w:szCs w:val="20"/>
          <w:lang w:val="ru-RU"/>
        </w:rPr>
        <w:t>(</w:t>
      </w:r>
      <w:r>
        <w:rPr>
          <w:rFonts w:ascii="Verdana" w:hAnsi="Verdana" w:cs="Arial"/>
          <w:sz w:val="20"/>
          <w:szCs w:val="20"/>
        </w:rPr>
        <w:t>Дружеството</w:t>
      </w:r>
      <w:r w:rsidRPr="00D23113">
        <w:rPr>
          <w:rFonts w:ascii="Verdana" w:hAnsi="Verdana" w:cs="Arial"/>
          <w:sz w:val="20"/>
          <w:szCs w:val="20"/>
          <w:lang w:val="ru-RU"/>
        </w:rPr>
        <w:t xml:space="preserve">) </w:t>
      </w:r>
      <w:r>
        <w:rPr>
          <w:rFonts w:ascii="Verdana" w:hAnsi="Verdana" w:cs="Arial"/>
          <w:sz w:val="20"/>
          <w:szCs w:val="20"/>
        </w:rPr>
        <w:t>е еднолично акционерно дружество с едноличен собственик на капитала „Държавна консолидационна компания“ ЕАД. Седалището и адресът на управление на Дружеството е гр. София, бул. „Джеймс Баучер“ № 66.</w:t>
      </w:r>
    </w:p>
    <w:p w14:paraId="6FBD9E16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Дружеството е с едностепенна система на управление - Съвет на директорите.</w:t>
      </w:r>
    </w:p>
    <w:p w14:paraId="5866B797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sz w:val="20"/>
          <w:szCs w:val="20"/>
        </w:rPr>
        <w:t>Регистрираният предмет на дейност на „Кинтекс” ЕАД е: „</w:t>
      </w:r>
      <w:r>
        <w:rPr>
          <w:rFonts w:ascii="Verdana" w:hAnsi="Verdana" w:cs="Arial"/>
          <w:sz w:val="20"/>
          <w:szCs w:val="20"/>
          <w:shd w:val="clear" w:color="auto" w:fill="FFFFFF"/>
        </w:rPr>
        <w:t>внос, износ и реекспорт на специално имущество, инженерингова дейност, техническа помощ и обучение, трансфер на технологии и ноу-хау, промишлено коопериране в областта на специалното производство, маркетинг, услуги, реклама, комисионерска и представителска дейност в страната и чужбина.“.</w:t>
      </w:r>
    </w:p>
    <w:p w14:paraId="779DF099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sz w:val="20"/>
          <w:szCs w:val="20"/>
        </w:rPr>
        <w:t>Дружеството има повече от 50 години опит във външната търговия с цялата гама от военни продукти и отбранителни технологии. Основната дейност се състои в снабдяване с военна техника за всички родове и служби на въоръжените сили, включително:</w:t>
      </w:r>
    </w:p>
    <w:p w14:paraId="01240822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Въоръжение и боеприпаси;</w:t>
      </w:r>
    </w:p>
    <w:p w14:paraId="5E58BF37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Оборудване за наблюдение, локализация и комуникация;</w:t>
      </w:r>
    </w:p>
    <w:p w14:paraId="0DAC8A09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Резервни части за: системи за въоръжение; танкове, бронирани превозни средства, хеликоптери и самолети;</w:t>
      </w:r>
    </w:p>
    <w:p w14:paraId="2F382D2C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Обучителни дейности и устройства;</w:t>
      </w:r>
    </w:p>
    <w:p w14:paraId="1929C9C7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Системно инженерство, управление на проекти, техническа помощ и трансфер на технологии.</w:t>
      </w:r>
    </w:p>
    <w:p w14:paraId="732E9422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color w:val="000000"/>
          <w:sz w:val="20"/>
          <w:szCs w:val="20"/>
        </w:rPr>
        <w:t>Дружеството традиционно поддържа приятелски отношения и доверено партньорство с правителствени институции, командвания на армията и полицията от цял свят.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Участието на международни изложения и конференции дава възможности за популяризиране и разширяване на географските направления на търговско присъствие на „Кинтекс'' ЕАД по отношение на износа на специално имущество.</w:t>
      </w:r>
    </w:p>
    <w:p w14:paraId="5CF5C912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Търговската дейност се характеризира, както с точно, добросъвестно и компетентно изпълнение на сключените търговски договори, така и с полагане на усилия за сключване на нови такива чрез участие в тръжни процедури, подготовка на офертите, провеждане на съответните преговори. Търсят се възможности за установяване на дългосрочни контакти с търговските партньори.</w:t>
      </w:r>
    </w:p>
    <w:p w14:paraId="5C2FA6F5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Дружеството осъществява специфичната си дейност в условия на силна конкуренция. Търговската дейност е обект на строги изисквания и одобрения от страна на регулаторните органи. Също така, „Кинтекс" ЕАД се подчинява на редица закони и </w:t>
      </w:r>
      <w:r>
        <w:rPr>
          <w:rFonts w:ascii="Verdana" w:hAnsi="Verdana" w:cs="Arial"/>
          <w:color w:val="000000"/>
          <w:sz w:val="20"/>
          <w:szCs w:val="20"/>
        </w:rPr>
        <w:lastRenderedPageBreak/>
        <w:t>регламенти, като тяхното спазване е задължително с оглед международните изисквания в бранша.</w:t>
      </w:r>
    </w:p>
    <w:p w14:paraId="2B24E2AA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Дейността по разширяване на традиционните пазари и разработване на нови е приоритетна, а диверсифицирането на доставчиците и продуктите способства за това, Дружеството да бъде конкурентноспособно и утвърждаващо се на международните пазари в бранша. Дружеството възлага приоритетно производството на специално имущество на държавните заводи в Р. България, отчитайки формирането от тях на приходи в републиканския бюджет от данъци, дивиденти и др. Стреми се към разширяване на номенклатурата на клиентите си, като приоритетно внимание се обръща на традиционните партньори.</w:t>
      </w:r>
    </w:p>
    <w:p w14:paraId="41186F8C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Корпоративната стратегия на „Кинтекс“ ЕАД може да се определи като стратегия на пазарната ниша, наличие на сегмент на пазара, неразкрит и неоползотворен от конкуренцията.</w:t>
      </w:r>
    </w:p>
    <w:p w14:paraId="617C14E4" w14:textId="27118C0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В съответствие с щатното разписание и организационната структура на „Кинтекс“ ЕАД средносписъчният брой на персонала за 202</w:t>
      </w:r>
      <w:r w:rsidR="00F70045">
        <w:rPr>
          <w:rFonts w:ascii="Verdana" w:hAnsi="Verdana" w:cs="Arial"/>
          <w:color w:val="000000"/>
          <w:sz w:val="20"/>
          <w:szCs w:val="20"/>
        </w:rPr>
        <w:t>4</w:t>
      </w:r>
      <w:r>
        <w:rPr>
          <w:rFonts w:ascii="Verdana" w:hAnsi="Verdana" w:cs="Arial"/>
          <w:color w:val="000000"/>
          <w:sz w:val="20"/>
          <w:szCs w:val="20"/>
        </w:rPr>
        <w:t xml:space="preserve"> г. е </w:t>
      </w:r>
      <w:r w:rsidR="000507AD" w:rsidRPr="00F70045">
        <w:rPr>
          <w:rFonts w:ascii="Verdana" w:hAnsi="Verdana" w:cs="Arial"/>
          <w:color w:val="000000"/>
          <w:sz w:val="20"/>
          <w:szCs w:val="20"/>
          <w:lang w:val="ru-RU"/>
        </w:rPr>
        <w:t xml:space="preserve">52 </w:t>
      </w:r>
      <w:r>
        <w:rPr>
          <w:rFonts w:ascii="Verdana" w:hAnsi="Verdana" w:cs="Arial"/>
          <w:color w:val="000000"/>
          <w:sz w:val="20"/>
          <w:szCs w:val="20"/>
        </w:rPr>
        <w:t xml:space="preserve">човека. </w:t>
      </w:r>
    </w:p>
    <w:p w14:paraId="703A5028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Текущите финансови отчети се публикуват и са общо достъпни на електронно – информационната система за публични предприятия в интернет страницата на Агенция за публичните предприятия и контрол https://reports.appk.government.bg/.</w:t>
      </w:r>
    </w:p>
    <w:p w14:paraId="08220CDD" w14:textId="77777777" w:rsidR="000B242A" w:rsidRDefault="000B242A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0B242A">
      <w:pgSz w:w="12240" w:h="15840"/>
      <w:pgMar w:top="1417" w:right="1608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0FA8F" w14:textId="77777777" w:rsidR="00D23113" w:rsidRDefault="00D23113">
      <w:r>
        <w:separator/>
      </w:r>
    </w:p>
  </w:endnote>
  <w:endnote w:type="continuationSeparator" w:id="0">
    <w:p w14:paraId="604D918F" w14:textId="77777777" w:rsidR="00D23113" w:rsidRDefault="00D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52F5" w14:textId="77777777" w:rsidR="00D23113" w:rsidRDefault="00D23113">
      <w:r>
        <w:rPr>
          <w:color w:val="000000"/>
        </w:rPr>
        <w:separator/>
      </w:r>
    </w:p>
  </w:footnote>
  <w:footnote w:type="continuationSeparator" w:id="0">
    <w:p w14:paraId="2E73925D" w14:textId="77777777" w:rsidR="00D23113" w:rsidRDefault="00D2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677DC"/>
    <w:multiLevelType w:val="multilevel"/>
    <w:tmpl w:val="EF2C0F9E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 w16cid:durableId="119138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2A"/>
    <w:rsid w:val="000507AD"/>
    <w:rsid w:val="000B242A"/>
    <w:rsid w:val="005133FC"/>
    <w:rsid w:val="00C81E12"/>
    <w:rsid w:val="00D23113"/>
    <w:rsid w:val="00DF3424"/>
    <w:rsid w:val="00E2734C"/>
    <w:rsid w:val="00F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6225"/>
  <w15:docId w15:val="{58181C8E-2211-400C-896A-18B8EAEB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ind w:left="708"/>
      <w:textAlignment w:val="auto"/>
    </w:pPr>
    <w:rPr>
      <w:sz w:val="20"/>
      <w:szCs w:val="20"/>
      <w:lang w:val="en-AU" w:eastAsia="en-US"/>
    </w:rPr>
  </w:style>
  <w:style w:type="character" w:customStyle="1" w:styleId="2">
    <w:name w:val="Основен текст (2)_"/>
    <w:rPr>
      <w:shd w:val="clear" w:color="auto" w:fill="FFFFFF"/>
    </w:rPr>
  </w:style>
  <w:style w:type="paragraph" w:customStyle="1" w:styleId="20">
    <w:name w:val="Основен текст (2)"/>
    <w:basedOn w:val="Normal"/>
    <w:pPr>
      <w:widowControl w:val="0"/>
      <w:shd w:val="clear" w:color="auto" w:fill="FFFFFF"/>
      <w:suppressAutoHyphens w:val="0"/>
      <w:spacing w:before="300" w:line="259" w:lineRule="exact"/>
      <w:ind w:hanging="340"/>
      <w:jc w:val="both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pPr>
      <w:suppressAutoHyphens w:val="0"/>
      <w:textAlignment w:val="auto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Atanasova</dc:creator>
  <dc:description/>
  <cp:lastModifiedBy>Angel Angelov</cp:lastModifiedBy>
  <cp:revision>5</cp:revision>
  <cp:lastPrinted>2022-06-27T11:08:00Z</cp:lastPrinted>
  <dcterms:created xsi:type="dcterms:W3CDTF">2024-09-26T08:26:00Z</dcterms:created>
  <dcterms:modified xsi:type="dcterms:W3CDTF">2025-07-11T07:21:00Z</dcterms:modified>
</cp:coreProperties>
</file>